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137 vom 26. Januar 2026</w:t>
      </w:r>
    </w:p>
    <w:p>
      <w:r>
        <w:t>FR Kantonsgericht, 2026-01-26, FR</w:t>
      </w:r>
    </w:p>
    <w:p>
      <w:r>
        <w:rPr>
          <w:b/>
        </w:rPr>
        <w:t xml:space="preserve">Quelle: </w:t>
      </w:r>
      <w:r>
        <w:t>https://mcp.opencaselaw.ch/entscheid/fr_gerichte_601 2024 137</w:t>
      </w:r>
    </w:p>
    <w:p>
      <w:r>
        <w:t>FR: FR_GERICHTE 601 2024 137 du 26 janvier 2026</w:t>
      </w:r>
    </w:p>
    <w:p>
      <w:r>
        <w:t>IT: FR_GERICHTE 601 2024 137 del 26 gennaio 2026</w:t>
      </w:r>
    </w:p>
    <w:p>
      <w:pPr>
        <w:pStyle w:val="Heading2"/>
      </w:pPr>
      <w:r>
        <w:t>Erwägungen</w:t>
      </w:r>
    </w:p>
    <w:p>
      <w:r>
        <w:rPr>
          <w:b/>
        </w:rPr>
        <w:t>E. 31</w:t>
      </w:r>
    </w:p>
    <w:p>
      <w:r>
        <w:t>décembre 2022 alors que la commune intimée a conclu, de manière subsidiaire, à l'octroi d'un montant sans intérêts. En l'absence de dispositions communales portant sur la question des intérêts moratoires des redevances payées à tort, les dispositions édictées en la matière par le droit privé s'appliquent par analogie à titre de droit communal supplétif (arrêts TF 2A.439/2003 du 2 février 2004 consid. 7 et les références citées; TC FR 601 2022 126 du 6 mars 2024 consid. 7.2.1 appliquant l'art. 104 al. 1 CO pour l'indemnité de licenciement injustifié). Selon l'art. 104 al. 1 CO, le débiteur qui est en demeure pour le paiement d’une somme d’argent doit l’intérêt moratoire à 5 % l’an. Il est mis en demeure par interpellation (art. 102 al. 1 CO). En ce qui concerne une dette d'argent, l'interpellation doit être en principe chiffrée (ATF 129 III 535 consid. 3.2.2). Le dépôt d'un recours peut valoir interpellation (arrêt TF 2A.439/2003 du 2 février 2004 consid. 7 et les références citées). En l'espèce, les recourants se sont adressées à la Commune de C.________ le 29 août 2019. Ils ont d'emblée requis la prise en charge des frais causés par l'absence de transport scolaire au départ de leur domicile, mais ils n'ont pas chiffré leur requête. La proposition de conclure une convention d'indemnisation formulée le 10 mai 2021 ne vaut pas non plus interpellation chiffrée. Dans leur recours du 30 décembre 2021 à la Préfecture, les recourants n'ont pas pris non plus de conclusions chiffrées. En définitive, le dossier ne contient aucune interpellation chiffrée avant le dépôt du recours le 23 février 2023 auprès du Tribunal cantonal. La commune intimée doit donc des intérêts moratoires à 5% l'an dès le 24 février 2023. 5.4. Il s'ensuit que le recours est admis et la cause renvoyée à la Commune de C.________ pour fixation de l'indemnité due aux recourants et nouvelle décision dans le sens des considérants. 6. 6.1. Les recourants ont obtenu gain de cause dès lors qu'une admission avec renvoi pour nouvelle décision est considérée comme tel du point de vue des frais et dépens. Il se justifie par conséquent de leur restituer l'avance de frais de CHF 1'000.- qu'ils ont prestée et de leur allouer une indemnité de partie pleine et entière à la charge de la commune intimée (art. 137 CPJA; arrêt TC FR 601 2022 41 du 5 décembre 2022 consid. 5). Pour l'ensemble de la procédure par-devant le Tribunal cantonal (art. 138 al. 2 CPJA; procédures 601 2023 18 et 601 2024 137), Me Jennifer Tapia fait état de 32 heures et 25 minutes de travail dont 14 heures et 33 minutes dans la procédure 601 2023 18 et 17 heures et 52 minutes pour la procédure 601 2024 137. La durée pour la procédure 601 2023 18 ne prête pas flanc à la critique et sera admise. En revanche, la durée de 17 heures et 52 minutes pour la procédure après l'arrêt de renvoi paraît excessive. Elle est en effet supérieure à la durée de la procédure avant l'arrêt de renvoi alors que la procédure postérieure portait sur une période plus restreinte et qu'une partie importante du litige avait définitivement été tranchée par le Tribunal fédéral. Enfin, la complexité relative de la cause ne justifiait pas l'ampleur des écritures déposées par les parties. La Cour estime ainsi qu'une dizaine d'heures environ était suffisante pour défendre les droits des recourants de manière convenable dans le cadre de la seconde procédure 601 2024 137. Elle retient par conséquent une durée totale de 25 heures pour les deux procédures.</w:t>
      </w:r>
    </w:p>
    <w:p>
      <w:r>
        <w:t>Tribunal cantonal TC Page 14 de 15 Au tarif horaire de CHF 250.- (art. 8 al. 1 Tarif JA), cette durée donne droit à un montant de CHF 6'250.-. Les débours, au prix coûtant, doivent être ajoutés à cette somme (art. 9 al. 1 Tarif JA). Ceux-ci n'ayant pas été chiffrés par les recourants qui ont requis des débours forfaitaires, la Cour les fixe selon sa libre appréciation à la somme de CHF 100.- (art. 11 al. 1 3e phrase Tarif JA). La TVA par 8.1% est due en sus, ce qui porte l'indemnité de partie à CHF 6'864.35, TVA par CHF 514.35 comprise. Conformément à l'art. 141 al. 2 CPJA, celle-ci sera directement versée à Me Jennifer Tapia par la Commune de C.________. 6.2. La Commune de C.________ ne peut être astreinte au paiement des frais de procédure. Le financement du transport scolaire, et par voie de conséquence, le financement des solutions de substitution, est en effet une tâche publique. Il ne relève donc pas de son intérêt patrimonial au sens de l'art. 133 CPJA. (dispositif en page suivante)</w:t>
      </w:r>
    </w:p>
    <w:p>
      <w:r>
        <w:t>Tribunal cantonal TC Page 15 de 15 la Cour arrête : I. Le recours est admis et la décision de la Préfecture de la Broye du 24 janvier 2023 annulée. A.________ et B.________ ont droit à une indemnité kilométrique correspondant aux trajets entre leur domicile et l'arrêt de bus de J.________ pour les années scolaires 2019-2020, 2020- 2021 et 2021-2022 jusqu'en octobre 2021. Ils ont également droit, au sens des considérants, à l'indemnisation des frais d'accueil extrascolaire pour les périodes de midi de E.________ de novembre 2021 jusqu'à la fin de l'année scolaire 2021-2022 et pour l'année scolaire 2022- 2023. La cause est renvoyée à la Commune de C.________ pour fixation de l'indemnité et nouvelle décision dans le sens des considérants. II. Il n'est pas perçu de frais de procédure. L'avance de frais de CHF 1'000.- versée par A.________ et B.________ leur est restituée. III. L'indemnité de partie allouée à A.________ et B.________ est fixée à CHF 6'864.35, TVA par CHF 514.35 comprise. Elle est mise à la charge de la Commune de C.________ et sera directement versée à Me Jennifer Tapia. IV. Notification. Cette décision peut faire l'objet d'un recours auprès du Tribunal fédéral, à Lausanne, dans les 30 jours dès sa notification. La fixation de l'indemnité de partie peut, dans un délai de 30 jours, faire l'objet d'une réclamation auprès de l'autorité qui a statué, lorsque seule cette partie de la décision est contestée (art. 148 CPJA). Fribourg, le 26 janvier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